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C21" w:rsidRDefault="00614CF8" w:rsidP="00423434">
      <w:pPr>
        <w:jc w:val="center"/>
        <w:rPr>
          <w:rFonts w:ascii="Arial" w:eastAsia="Calibri" w:hAnsi="Arial" w:cs="Arial"/>
          <w:b/>
          <w:bCs/>
        </w:rPr>
      </w:pPr>
      <w:r w:rsidRPr="00614CF8">
        <w:rPr>
          <w:rFonts w:ascii="Arial" w:eastAsia="Calibri" w:hAnsi="Arial" w:cs="Arial"/>
          <w:b/>
          <w:bCs/>
        </w:rPr>
        <w:t>GARA EUROPEA A PROCEDURA APE</w:t>
      </w:r>
      <w:bookmarkStart w:id="0" w:name="_GoBack"/>
      <w:bookmarkEnd w:id="0"/>
      <w:r w:rsidRPr="00614CF8">
        <w:rPr>
          <w:rFonts w:ascii="Arial" w:eastAsia="Calibri" w:hAnsi="Arial" w:cs="Arial"/>
          <w:b/>
          <w:bCs/>
        </w:rPr>
        <w:t>RTA PER L’AFFIDAMENTO DEI SERVIZI ASSICURATIVI A FAVORE DELLA FONDAZIONE BRUNO KESSLER</w:t>
      </w:r>
    </w:p>
    <w:p w:rsidR="00614CF8" w:rsidRPr="00362BF4" w:rsidRDefault="00614CF8">
      <w:pPr>
        <w:jc w:val="both"/>
        <w:rPr>
          <w:rFonts w:ascii="Arial" w:hAnsi="Arial" w:cs="Arial"/>
          <w:sz w:val="22"/>
          <w:szCs w:val="22"/>
        </w:rPr>
      </w:pPr>
    </w:p>
    <w:p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="003D22E8">
        <w:rPr>
          <w:rFonts w:ascii="Arial" w:hAnsi="Arial" w:cs="Arial"/>
          <w:b/>
          <w:i/>
          <w:sz w:val="22"/>
          <w:szCs w:val="22"/>
        </w:rPr>
        <w:t>/qualifiche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domiciliato per la carica ove appresso, in qualità di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D.Lgs.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322, 322-bis, 346-bis, 353, 353-bis, 354, 355 e 356 del codice penale nonché all’articolo 2635 del codice civile;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c) frode ai sensi dell'articolo 1 della convenzione relativa alla tutela degli interessi finanziari delle Comunità europee;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, o di un tentativo di infiltrazione mafiosa di cui all'art. 84, comma 4, del medesimo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>cancellazione, la limitazione del trattamento, l’opposizione al trattamento per motivi legittimi, la portabilità e la proposizione e reclamo all’Autorità di controllo dei dati personali ai sensi del Capo III del G</w:t>
      </w:r>
      <w:r w:rsidR="00153438">
        <w:rPr>
          <w:rFonts w:ascii="Arial" w:hAnsi="Arial" w:cs="Arial"/>
          <w:sz w:val="22"/>
          <w:szCs w:val="22"/>
          <w:lang w:val="it-IT"/>
        </w:rPr>
        <w:t>DP</w:t>
      </w:r>
      <w:r w:rsidRPr="00362BF4">
        <w:rPr>
          <w:rFonts w:ascii="Arial" w:hAnsi="Arial" w:cs="Arial"/>
          <w:sz w:val="22"/>
          <w:szCs w:val="22"/>
          <w:lang w:val="it-IT"/>
        </w:rPr>
        <w:t>R.</w:t>
      </w:r>
    </w:p>
    <w:p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DD3C37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  <w:r w:rsidR="00DD3C37">
        <w:rPr>
          <w:rStyle w:val="Rimandonotaapidipagina"/>
          <w:rFonts w:ascii="Arial" w:hAnsi="Arial" w:cs="Arial"/>
          <w:sz w:val="22"/>
          <w:szCs w:val="22"/>
          <w:lang w:val="it-IT"/>
        </w:rPr>
        <w:footnoteReference w:id="1"/>
      </w:r>
    </w:p>
    <w:p w:rsidR="00DD3C37" w:rsidRPr="00362BF4" w:rsidRDefault="00DD3C37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lang w:val="it-IT"/>
        </w:rPr>
        <w:t>Si ricorda di allegare alla presente la copia fotostatica di un documento di riconoscimento in corso di validità del sottoscrittore.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7E" w:rsidRDefault="0014477E">
      <w:r>
        <w:separator/>
      </w:r>
    </w:p>
  </w:endnote>
  <w:endnote w:type="continuationSeparator" w:id="0">
    <w:p w:rsidR="0014477E" w:rsidRDefault="0014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7E" w:rsidRDefault="0014477E">
      <w:r>
        <w:separator/>
      </w:r>
    </w:p>
  </w:footnote>
  <w:footnote w:type="continuationSeparator" w:id="0">
    <w:p w:rsidR="0014477E" w:rsidRDefault="0014477E">
      <w:r>
        <w:continuationSeparator/>
      </w:r>
    </w:p>
  </w:footnote>
  <w:footnote w:id="1">
    <w:p w:rsidR="00DD3C37" w:rsidRPr="003D22E8" w:rsidRDefault="00DD3C37">
      <w:pPr>
        <w:pStyle w:val="Testonotaapidipagina"/>
        <w:rPr>
          <w:rFonts w:ascii="Arial" w:hAnsi="Arial" w:cs="Arial"/>
          <w:sz w:val="16"/>
          <w:szCs w:val="16"/>
        </w:rPr>
      </w:pPr>
      <w:r w:rsidRPr="003D22E8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22E8">
        <w:rPr>
          <w:rFonts w:ascii="Arial" w:hAnsi="Arial" w:cs="Arial"/>
          <w:sz w:val="16"/>
          <w:szCs w:val="16"/>
        </w:rPr>
        <w:t xml:space="preserve"> In alternativa, il documento può essere sottoscritto </w:t>
      </w:r>
      <w:r w:rsidR="00191ACD" w:rsidRPr="003D22E8">
        <w:rPr>
          <w:rFonts w:ascii="Arial" w:hAnsi="Arial" w:cs="Arial"/>
          <w:sz w:val="16"/>
          <w:szCs w:val="16"/>
        </w:rPr>
        <w:t>dal dichiarante mediante firma autografa</w:t>
      </w:r>
      <w:r w:rsidRPr="003D22E8">
        <w:rPr>
          <w:rFonts w:ascii="Arial" w:hAnsi="Arial" w:cs="Arial"/>
          <w:sz w:val="16"/>
          <w:szCs w:val="16"/>
        </w:rPr>
        <w:t xml:space="preserve"> (</w:t>
      </w:r>
      <w:r w:rsidR="00191ACD" w:rsidRPr="003D22E8">
        <w:rPr>
          <w:rFonts w:ascii="Arial" w:hAnsi="Arial" w:cs="Arial"/>
          <w:sz w:val="16"/>
          <w:szCs w:val="16"/>
        </w:rPr>
        <w:t>sull’</w:t>
      </w:r>
      <w:r w:rsidRPr="003D22E8">
        <w:rPr>
          <w:rFonts w:ascii="Arial" w:hAnsi="Arial" w:cs="Arial"/>
          <w:sz w:val="16"/>
          <w:szCs w:val="16"/>
        </w:rPr>
        <w:t>originale cartaceo</w:t>
      </w:r>
      <w:r w:rsidR="00191ACD" w:rsidRPr="003D22E8">
        <w:rPr>
          <w:rFonts w:ascii="Arial" w:hAnsi="Arial" w:cs="Arial"/>
          <w:sz w:val="16"/>
          <w:szCs w:val="16"/>
        </w:rPr>
        <w:t xml:space="preserve">), scansionato e caricato tra i documenti di gara (unitamente alle eventuali </w:t>
      </w:r>
      <w:r w:rsidR="00BE2094" w:rsidRPr="003D22E8">
        <w:rPr>
          <w:rFonts w:ascii="Arial" w:hAnsi="Arial" w:cs="Arial"/>
          <w:sz w:val="16"/>
          <w:szCs w:val="16"/>
        </w:rPr>
        <w:t xml:space="preserve">ulteriori </w:t>
      </w:r>
      <w:r w:rsidR="00191ACD" w:rsidRPr="003D22E8">
        <w:rPr>
          <w:rFonts w:ascii="Arial" w:hAnsi="Arial" w:cs="Arial"/>
          <w:sz w:val="16"/>
          <w:szCs w:val="16"/>
        </w:rPr>
        <w:t xml:space="preserve">dichiarazioni </w:t>
      </w:r>
      <w:r w:rsidR="00BE2094" w:rsidRPr="003D22E8">
        <w:rPr>
          <w:rFonts w:ascii="Arial" w:hAnsi="Arial" w:cs="Arial"/>
          <w:sz w:val="16"/>
          <w:szCs w:val="16"/>
        </w:rPr>
        <w:t xml:space="preserve">rese </w:t>
      </w:r>
      <w:r w:rsidR="00191ACD" w:rsidRPr="003D22E8">
        <w:rPr>
          <w:rFonts w:ascii="Arial" w:hAnsi="Arial" w:cs="Arial"/>
          <w:sz w:val="16"/>
          <w:szCs w:val="16"/>
        </w:rPr>
        <w:t>d</w:t>
      </w:r>
      <w:r w:rsidR="00E65FC7" w:rsidRPr="003D22E8">
        <w:rPr>
          <w:rFonts w:ascii="Arial" w:hAnsi="Arial" w:cs="Arial"/>
          <w:sz w:val="16"/>
          <w:szCs w:val="16"/>
        </w:rPr>
        <w:t>agli altri soggetti</w:t>
      </w:r>
      <w:r w:rsidR="00191ACD" w:rsidRPr="003D22E8">
        <w:rPr>
          <w:rFonts w:ascii="Arial" w:hAnsi="Arial" w:cs="Arial"/>
          <w:sz w:val="16"/>
          <w:szCs w:val="16"/>
        </w:rPr>
        <w:t>, in un unico file)</w:t>
      </w:r>
      <w:r w:rsidRPr="003D22E8">
        <w:rPr>
          <w:rFonts w:ascii="Arial" w:hAnsi="Arial" w:cs="Arial"/>
          <w:sz w:val="16"/>
          <w:szCs w:val="16"/>
        </w:rPr>
        <w:t xml:space="preserve"> sottoscritt</w:t>
      </w:r>
      <w:r w:rsidR="00191ACD" w:rsidRPr="003D22E8">
        <w:rPr>
          <w:rFonts w:ascii="Arial" w:hAnsi="Arial" w:cs="Arial"/>
          <w:sz w:val="16"/>
          <w:szCs w:val="16"/>
        </w:rPr>
        <w:t>o</w:t>
      </w:r>
      <w:r w:rsidRPr="003D22E8">
        <w:rPr>
          <w:rFonts w:ascii="Arial" w:hAnsi="Arial" w:cs="Arial"/>
          <w:sz w:val="16"/>
          <w:szCs w:val="16"/>
        </w:rPr>
        <w:t xml:space="preserve"> digitalmente dal legale rappresentante dell’impresa (soggetto firmatario dei documenti ai fini della partecipazione alla procedura).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02591D">
      <w:rPr>
        <w:rFonts w:ascii="Arial" w:hAnsi="Arial" w:cs="Arial"/>
        <w:bCs/>
        <w:sz w:val="24"/>
        <w:szCs w:val="24"/>
      </w:rPr>
      <w:t>B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91D" w:rsidRDefault="000259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2591D"/>
    <w:rsid w:val="000A75E5"/>
    <w:rsid w:val="000C7F26"/>
    <w:rsid w:val="000F2A79"/>
    <w:rsid w:val="0014477E"/>
    <w:rsid w:val="00153438"/>
    <w:rsid w:val="00154371"/>
    <w:rsid w:val="00191ACD"/>
    <w:rsid w:val="00192FE9"/>
    <w:rsid w:val="001E20D4"/>
    <w:rsid w:val="002E26D8"/>
    <w:rsid w:val="003135E2"/>
    <w:rsid w:val="00362BF4"/>
    <w:rsid w:val="00376478"/>
    <w:rsid w:val="00387E89"/>
    <w:rsid w:val="00395756"/>
    <w:rsid w:val="003C5287"/>
    <w:rsid w:val="003D22E8"/>
    <w:rsid w:val="00423434"/>
    <w:rsid w:val="00473C15"/>
    <w:rsid w:val="004E6C36"/>
    <w:rsid w:val="00530171"/>
    <w:rsid w:val="005B10B3"/>
    <w:rsid w:val="005B1DB6"/>
    <w:rsid w:val="00614CF8"/>
    <w:rsid w:val="00615B61"/>
    <w:rsid w:val="00662C21"/>
    <w:rsid w:val="007A6A3D"/>
    <w:rsid w:val="00823CCB"/>
    <w:rsid w:val="008A5A52"/>
    <w:rsid w:val="008C1853"/>
    <w:rsid w:val="008D27F9"/>
    <w:rsid w:val="0090499C"/>
    <w:rsid w:val="00950588"/>
    <w:rsid w:val="009812B4"/>
    <w:rsid w:val="009D7C2D"/>
    <w:rsid w:val="00B12552"/>
    <w:rsid w:val="00B27D1D"/>
    <w:rsid w:val="00B84BDB"/>
    <w:rsid w:val="00BB0D1F"/>
    <w:rsid w:val="00BE2094"/>
    <w:rsid w:val="00C53B3F"/>
    <w:rsid w:val="00C74D9A"/>
    <w:rsid w:val="00CD650C"/>
    <w:rsid w:val="00D72BCC"/>
    <w:rsid w:val="00DD3C37"/>
    <w:rsid w:val="00DF5B57"/>
    <w:rsid w:val="00E174FE"/>
    <w:rsid w:val="00E34656"/>
    <w:rsid w:val="00E65FC7"/>
    <w:rsid w:val="00E66C2C"/>
    <w:rsid w:val="00E87828"/>
    <w:rsid w:val="00F058CF"/>
    <w:rsid w:val="00F10D2E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C8F7D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42F81-E724-4112-B472-AA26D5B7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36</cp:revision>
  <dcterms:created xsi:type="dcterms:W3CDTF">2018-05-21T08:55:00Z</dcterms:created>
  <dcterms:modified xsi:type="dcterms:W3CDTF">2019-12-17T17:54:00Z</dcterms:modified>
</cp:coreProperties>
</file>